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747" w:type="dxa"/>
        <w:tblInd w:w="0" w:type="dxa"/>
        <w:tblLayout w:type="autofit"/>
        <w:tblCellMar>
          <w:top w:w="0" w:type="dxa"/>
          <w:left w:w="108" w:type="dxa"/>
          <w:bottom w:w="0" w:type="dxa"/>
          <w:right w:w="108" w:type="dxa"/>
        </w:tblCellMar>
      </w:tblPr>
      <w:tblGrid>
        <w:gridCol w:w="4503"/>
        <w:gridCol w:w="5244"/>
      </w:tblGrid>
      <w:tr>
        <w:tblPrEx>
          <w:tblCellMar>
            <w:top w:w="0" w:type="dxa"/>
            <w:left w:w="108" w:type="dxa"/>
            <w:bottom w:w="0" w:type="dxa"/>
            <w:right w:w="108" w:type="dxa"/>
          </w:tblCellMar>
        </w:tblPrEx>
        <w:tc>
          <w:tcPr>
            <w:tcW w:w="4503" w:type="dxa"/>
            <w:shd w:val="clear" w:color="auto" w:fill="auto"/>
          </w:tcPr>
          <w:p>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CHI CỤC HÀNG HẢI VN TẠI TP.HCM</w:t>
            </w:r>
          </w:p>
        </w:tc>
        <w:tc>
          <w:tcPr>
            <w:tcW w:w="5244" w:type="dxa"/>
            <w:shd w:val="clear" w:color="auto" w:fill="auto"/>
          </w:tcPr>
          <w:p>
            <w:pPr>
              <w:spacing w:after="0" w:line="360" w:lineRule="auto"/>
              <w:ind w:right="-279" w:hanging="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CỘNG HÒA XÃ HỘI CHỦ NGHĨA VIỆT NAM</w:t>
            </w:r>
          </w:p>
        </w:tc>
      </w:tr>
      <w:tr>
        <w:tblPrEx>
          <w:tblCellMar>
            <w:top w:w="0" w:type="dxa"/>
            <w:left w:w="108" w:type="dxa"/>
            <w:bottom w:w="0" w:type="dxa"/>
            <w:right w:w="108" w:type="dxa"/>
          </w:tblCellMar>
        </w:tblPrEx>
        <w:tc>
          <w:tcPr>
            <w:tcW w:w="4503" w:type="dxa"/>
            <w:shd w:val="clear" w:color="auto" w:fill="auto"/>
          </w:tcPr>
          <w:p>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476250</wp:posOffset>
                      </wp:positionH>
                      <wp:positionV relativeFrom="paragraph">
                        <wp:posOffset>232410</wp:posOffset>
                      </wp:positionV>
                      <wp:extent cx="1657350" cy="0"/>
                      <wp:effectExtent l="9525" t="13335" r="9525" b="5715"/>
                      <wp:wrapNone/>
                      <wp:docPr id="2" name="Straight Arrow Connector 2"/>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7.5pt;margin-top:18.3pt;height:0pt;width:130.5pt;z-index:251659264;mso-width-relative:page;mso-height-relative:page;" filled="f" stroked="t" coordsize="21600,21600" o:gfxdata="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8YGpTWAAAACAEAAA8AAAAAAAAAAQAgAAAAIgAAAGRycy9kb3ducmV2LnhtbFBL&#10;AQIUABQAAAAIAIdO4kCGJgSJvwEAAHMDAAAOAAAAAAAAAAEAIAAAACUBAABkcnMvZTJvRG9jLnht&#10;bFBLBQYAAAAABgAGAFkBAABWBQAAAAA=&#10;">
                      <v:fill on="f" focussize="0,0"/>
                      <v:stroke color="#000000" joinstyle="round"/>
                      <v:imagedata o:title=""/>
                      <o:lock v:ext="edit" aspectratio="f"/>
                    </v:shape>
                  </w:pict>
                </mc:Fallback>
              </mc:AlternateContent>
            </w:r>
            <w:r>
              <w:rPr>
                <w:rFonts w:ascii="Times New Roman" w:hAnsi="Times New Roman" w:cs="Times New Roman"/>
                <w:b/>
                <w:color w:val="000000"/>
                <w:sz w:val="24"/>
                <w:szCs w:val="24"/>
              </w:rPr>
              <w:t>PHÒNG NGHIỆP VỤ HÀNG HẢI</w:t>
            </w:r>
          </w:p>
        </w:tc>
        <w:tc>
          <w:tcPr>
            <w:tcW w:w="5244" w:type="dxa"/>
            <w:shd w:val="clear" w:color="auto" w:fill="auto"/>
          </w:tcPr>
          <w:p>
            <w:pPr>
              <w:spacing w:after="0" w:line="36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769620</wp:posOffset>
                      </wp:positionH>
                      <wp:positionV relativeFrom="paragraph">
                        <wp:posOffset>232410</wp:posOffset>
                      </wp:positionV>
                      <wp:extent cx="1657350" cy="0"/>
                      <wp:effectExtent l="7620" t="13335" r="11430" b="5715"/>
                      <wp:wrapNone/>
                      <wp:docPr id="1" name="Straight Arrow Connector 1"/>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60.6pt;margin-top:18.3pt;height:0pt;width:130.5pt;z-index:251660288;mso-width-relative:page;mso-height-relative:page;" filled="f" stroked="t" coordsize="21600,21600" o:gfxdata="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zPOcm1QAAAAkBAAAPAAAAAAAAAAEAIAAAACIAAABkcnMvZG93bnJldi54bWxQSwEC&#10;FAAUAAAACACHTuJAcHMxCb4BAABzAwAADgAAAAAAAAABACAAAAAkAQAAZHJzL2Uyb0RvYy54bWxQ&#10;SwUGAAAAAAYABgBZAQAAVAUAAAAA&#10;">
                      <v:fill on="f" focussize="0,0"/>
                      <v:stroke color="#000000" joinstyle="round"/>
                      <v:imagedata o:title=""/>
                      <o:lock v:ext="edit" aspectratio="f"/>
                    </v:shape>
                  </w:pict>
                </mc:Fallback>
              </mc:AlternateContent>
            </w:r>
            <w:r>
              <w:rPr>
                <w:rFonts w:ascii="Times New Roman" w:hAnsi="Times New Roman" w:cs="Times New Roman"/>
                <w:b/>
                <w:color w:val="000000"/>
                <w:sz w:val="24"/>
                <w:szCs w:val="24"/>
              </w:rPr>
              <w:t>Độc lập - Tự do - Hạnh phúc</w:t>
            </w:r>
          </w:p>
        </w:tc>
      </w:tr>
    </w:tbl>
    <w:p>
      <w:pPr>
        <w:rPr>
          <w:rFonts w:ascii="Times New Roman" w:hAnsi="Times New Roman" w:cs="Times New Roman"/>
          <w:sz w:val="24"/>
          <w:szCs w:val="24"/>
        </w:rPr>
      </w:pPr>
    </w:p>
    <w:p>
      <w:pPr>
        <w:tabs>
          <w:tab w:val="center" w:pos="1843"/>
          <w:tab w:val="center" w:pos="7371"/>
        </w:tabs>
        <w:spacing w:after="0"/>
        <w:jc w:val="center"/>
        <w:rPr>
          <w:rFonts w:ascii="Times New Roman" w:hAnsi="Times New Roman" w:cs="Times New Roman"/>
          <w:b/>
          <w:sz w:val="26"/>
          <w:szCs w:val="26"/>
        </w:rPr>
      </w:pPr>
      <w:r>
        <w:rPr>
          <w:rFonts w:ascii="Times New Roman" w:hAnsi="Times New Roman" w:cs="Times New Roman"/>
          <w:b/>
          <w:sz w:val="26"/>
          <w:szCs w:val="26"/>
        </w:rPr>
        <w:t>THỦ TỤC</w:t>
      </w:r>
    </w:p>
    <w:p>
      <w:pPr>
        <w:jc w:val="center"/>
        <w:rPr>
          <w:rFonts w:ascii="Times New Roman" w:hAnsi="Times New Roman" w:cs="Times New Roman"/>
          <w:b/>
          <w:sz w:val="26"/>
          <w:szCs w:val="26"/>
        </w:rPr>
      </w:pPr>
      <w:r>
        <w:rPr>
          <w:rFonts w:ascii="Times New Roman" w:hAnsi="Times New Roman" w:cs="Times New Roman"/>
          <w:b/>
          <w:sz w:val="26"/>
          <w:szCs w:val="26"/>
        </w:rPr>
        <mc:AlternateContent>
          <mc:Choice Requires="wps">
            <w:drawing>
              <wp:anchor distT="0" distB="0" distL="114300" distR="114300" simplePos="0" relativeHeight="251662336" behindDoc="0" locked="0" layoutInCell="1" allowOverlap="1">
                <wp:simplePos x="0" y="0"/>
                <wp:positionH relativeFrom="column">
                  <wp:posOffset>2219325</wp:posOffset>
                </wp:positionH>
                <wp:positionV relativeFrom="paragraph">
                  <wp:posOffset>260350</wp:posOffset>
                </wp:positionV>
                <wp:extent cx="1657350" cy="0"/>
                <wp:effectExtent l="0" t="0" r="19050" b="19050"/>
                <wp:wrapNone/>
                <wp:docPr id="3" name="Straight Arrow Connector 3"/>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74.75pt;margin-top:20.5pt;height:0pt;width:130.5pt;z-index:251662336;mso-width-relative:page;mso-height-relative:page;" filled="f" stroked="t" coordsize="21600,21600" o:gfxdata="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4KvMrWAAAACQEAAA8AAAAAAAAAAQAgAAAAIgAAAGRycy9kb3ducmV2LnhtbFBL&#10;AQIUABQAAAAIAIdO4kDrFzhAvwEAAHMDAAAOAAAAAAAAAAEAIAAAACUBAABkcnMvZTJvRG9jLnht&#10;bFBLBQYAAAAABgAGAFkBAABWBQAAAAA=&#10;">
                <v:fill on="f" focussize="0,0"/>
                <v:stroke color="#000000" joinstyle="round"/>
                <v:imagedata o:title=""/>
                <o:lock v:ext="edit" aspectratio="f"/>
              </v:shape>
            </w:pict>
          </mc:Fallback>
        </mc:AlternateContent>
      </w:r>
      <w:r>
        <w:rPr>
          <w:rFonts w:ascii="Times New Roman" w:hAnsi="Times New Roman" w:cs="Times New Roman"/>
          <w:b/>
          <w:sz w:val="26"/>
          <w:szCs w:val="26"/>
        </w:rPr>
        <w:t xml:space="preserve"> Cấp Giấy chứng nhận đăng ký tàu loại nhỏ</w:t>
      </w:r>
    </w:p>
    <w:p>
      <w:pPr>
        <w:shd w:val="clear" w:color="auto" w:fill="FFFFFF"/>
        <w:spacing w:after="100" w:afterAutospacing="1" w:line="240" w:lineRule="auto"/>
        <w:jc w:val="both"/>
        <w:rPr>
          <w:rFonts w:ascii="Times New Roman" w:hAnsi="Times New Roman" w:eastAsia="Times New Roman" w:cs="Times New Roman"/>
          <w:b/>
          <w:bCs/>
          <w:color w:val="333333"/>
          <w:sz w:val="24"/>
          <w:szCs w:val="24"/>
        </w:rPr>
      </w:pP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rPr>
        <w:t>1. Trình tự thực hiện:</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a) Nộp hồ sơ TTHC</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Tổ chức, cá nhân gửi hồ sơ đăng ký tàu biển (hoặc tàu công vụ, tàu ngầm, tàu lặn, kho chứa nổi và giàn di động) loại nhỏ đến Chi cục Hàng hải Việt Nam tại TP.Hồ Chí Minh</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b) Giải quyết TTHC</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Cơ quan đăng ký tàu biển tiếp nhận hồ sơ, thực hiện theo quy trình sau:</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 Trường hợp nộp hồ sơ trực tiếp, nếu hồ sơ chưa hợp lệ thì hướng dẫn ngay cho tổ chức, cá nhân hoàn thiện hồ sơ; nếu hồ sơ hợp lệ thì vào sổ theo dõi, cấp giấy biên nhận hồ sơ và hẹn trả kết quả đúng thời gian quy định;</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 Trường hợp nhận hồ sơ qua đường bưu chính, nếu hồ sơ không hợp lệ, chậm nhất 02 ngày làm việc, kể từ ngày nhận hồ sơ, cơ quan đăng ký tàu biển hướng dẫn hoàn thiện hồ sơ theo quy định;</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 Chậm nhất 02 ngày làm việc, kể từ ngày nhận đủ hồ sơ hợp lệ, cơ quan đăng ký tàu biển cấp giấy chứng nhận đăng ký tàu biển và trả trực tiếp hoặc gửi qua hệ thống bưu chính; trường hợp không cấp giấy chứng nhận phải trả lời bằng văn bản nêu rõ lý do.</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rPr>
        <w:t>2. Cách thực thực hiện</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Tổ chức, cá nhân nộp trực tiếp hoặc gửi qua hệ thống bưu chính hoặc bằng các hình thức phù hợp khác.</w:t>
      </w:r>
    </w:p>
    <w:p>
      <w:pPr>
        <w:shd w:val="clear" w:color="auto" w:fill="FFFFFF"/>
        <w:spacing w:after="0" w:line="360" w:lineRule="auto"/>
        <w:jc w:val="both"/>
        <w:rPr>
          <w:rFonts w:hint="default" w:ascii="Times New Roman" w:hAnsi="Times New Roman" w:eastAsia="Times New Roman" w:cs="Times New Roman"/>
          <w:color w:val="333333"/>
          <w:sz w:val="24"/>
          <w:szCs w:val="24"/>
          <w:lang w:val="en-US"/>
        </w:rPr>
      </w:pPr>
      <w:r>
        <w:rPr>
          <w:rFonts w:ascii="Times New Roman" w:hAnsi="Times New Roman" w:eastAsia="Times New Roman" w:cs="Times New Roman"/>
          <w:b/>
          <w:bCs/>
          <w:color w:val="333333"/>
          <w:sz w:val="24"/>
          <w:szCs w:val="24"/>
        </w:rPr>
        <w:t>3. Thành phần, số lượng hồ sơ</w:t>
      </w:r>
      <w:r>
        <w:rPr>
          <w:rFonts w:hint="default" w:ascii="Times New Roman" w:hAnsi="Times New Roman" w:eastAsia="Times New Roman" w:cs="Times New Roman"/>
          <w:b/>
          <w:bCs/>
          <w:color w:val="333333"/>
          <w:sz w:val="24"/>
          <w:szCs w:val="24"/>
          <w:lang w:val="en-US"/>
        </w:rPr>
        <w:t xml:space="preserve">: </w:t>
      </w:r>
      <w:r>
        <w:rPr>
          <w:rFonts w:ascii="Times New Roman" w:hAnsi="Times New Roman" w:eastAsia="Times New Roman" w:cs="Times New Roman"/>
          <w:b/>
          <w:color w:val="333333"/>
          <w:sz w:val="24"/>
          <w:szCs w:val="24"/>
        </w:rPr>
        <w:t>Số lượng hồ sơ là 01 (một) bộ.</w:t>
      </w:r>
    </w:p>
    <w:p>
      <w:pPr>
        <w:shd w:val="clear" w:color="auto" w:fill="FFFFFF"/>
        <w:spacing w:after="0" w:line="360" w:lineRule="auto"/>
        <w:ind w:firstLine="720"/>
        <w:jc w:val="both"/>
        <w:rPr>
          <w:rFonts w:ascii="Times New Roman" w:hAnsi="Times New Roman" w:eastAsia="Times New Roman" w:cs="Times New Roman"/>
          <w:b/>
          <w:color w:val="333333"/>
          <w:sz w:val="24"/>
          <w:szCs w:val="24"/>
        </w:rPr>
      </w:pPr>
      <w:r>
        <w:rPr>
          <w:rFonts w:ascii="Times New Roman" w:hAnsi="Times New Roman" w:eastAsia="Times New Roman" w:cs="Times New Roman"/>
          <w:color w:val="333333"/>
          <w:sz w:val="24"/>
          <w:szCs w:val="24"/>
        </w:rPr>
        <w:t xml:space="preserve">Thành phần hồ sơ: </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Tờ khai đăng ký tàu biển theo mẫu</w:t>
      </w:r>
      <w:r>
        <w:rPr>
          <w:rFonts w:ascii="Times New Roman" w:hAnsi="Times New Roman" w:eastAsia="Times New Roman" w:cs="Times New Roman"/>
          <w:b/>
          <w:color w:val="333333"/>
          <w:sz w:val="24"/>
          <w:szCs w:val="24"/>
        </w:rPr>
        <w:t xml:space="preserve"> (bản chính)</w:t>
      </w:r>
      <w:r>
        <w:rPr>
          <w:rFonts w:ascii="Times New Roman" w:hAnsi="Times New Roman" w:eastAsia="Times New Roman" w:cs="Times New Roman"/>
          <w:color w:val="333333"/>
          <w:sz w:val="24"/>
          <w:szCs w:val="24"/>
        </w:rPr>
        <w:t>;</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 Giấy chứng nhận xóa đăng ký tàu biển hoặc Giấy chứng nhận xóa đăng ký phương tiện thủy nội địa đối với phương tiện thủy nội địa cấp VR-SB </w:t>
      </w:r>
      <w:r>
        <w:rPr>
          <w:rFonts w:ascii="Times New Roman" w:hAnsi="Times New Roman" w:eastAsia="Times New Roman" w:cs="Times New Roman"/>
          <w:b/>
          <w:color w:val="333333"/>
          <w:sz w:val="24"/>
          <w:szCs w:val="24"/>
        </w:rPr>
        <w:t>(bản chính)</w:t>
      </w:r>
      <w:r>
        <w:rPr>
          <w:rFonts w:ascii="Times New Roman" w:hAnsi="Times New Roman" w:eastAsia="Times New Roman" w:cs="Times New Roman"/>
          <w:color w:val="333333"/>
          <w:sz w:val="24"/>
          <w:szCs w:val="24"/>
        </w:rPr>
        <w:t xml:space="preserve"> đã qua sử dụng hoặc biên bản bàn giao tàu đối với tàu biển đóng mới </w:t>
      </w:r>
      <w:r>
        <w:rPr>
          <w:rFonts w:ascii="Times New Roman" w:hAnsi="Times New Roman" w:eastAsia="Times New Roman" w:cs="Times New Roman"/>
          <w:b/>
          <w:color w:val="333333"/>
          <w:sz w:val="24"/>
          <w:szCs w:val="24"/>
        </w:rPr>
        <w:t>(bản chính)</w:t>
      </w:r>
      <w:r>
        <w:rPr>
          <w:rFonts w:ascii="Times New Roman" w:hAnsi="Times New Roman" w:eastAsia="Times New Roman" w:cs="Times New Roman"/>
          <w:color w:val="333333"/>
          <w:sz w:val="24"/>
          <w:szCs w:val="24"/>
        </w:rPr>
        <w:t>;</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 Hợp đồng mua, bán tàu biển hoặc hợp đồng đóng mới tàu biển hoặc các bằng chứng khác có giá trị pháp lý tương đương chứng minh quyền sở hữu đối với tàu biển </w:t>
      </w:r>
      <w:r>
        <w:rPr>
          <w:rFonts w:ascii="Times New Roman" w:hAnsi="Times New Roman" w:eastAsia="Times New Roman" w:cs="Times New Roman"/>
          <w:b/>
          <w:color w:val="333333"/>
          <w:sz w:val="24"/>
          <w:szCs w:val="24"/>
        </w:rPr>
        <w:t>(bản chính, kèm bản dịch công chứng nếu hợp đồng viết bằng ngôn ngữ nước ngoài)</w:t>
      </w:r>
      <w:r>
        <w:rPr>
          <w:rFonts w:ascii="Times New Roman" w:hAnsi="Times New Roman" w:eastAsia="Times New Roman" w:cs="Times New Roman"/>
          <w:color w:val="333333"/>
          <w:sz w:val="24"/>
          <w:szCs w:val="24"/>
        </w:rPr>
        <w:t>;</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 Chứng từ chứng minh đã nộp lệ phí trước bạ theo quy định, gồm Tờ khai lệ phí trước bạ có xác nhận của cơ quan thuế và chứng từ nộp tiền vào ngân sách nhà nước </w:t>
      </w:r>
      <w:r>
        <w:rPr>
          <w:rFonts w:ascii="Times New Roman" w:hAnsi="Times New Roman" w:eastAsia="Times New Roman" w:cs="Times New Roman"/>
          <w:b/>
          <w:color w:val="333333"/>
          <w:sz w:val="24"/>
          <w:szCs w:val="24"/>
        </w:rPr>
        <w:t>(bản sao kèm bản chính để đối chiếu)</w:t>
      </w:r>
      <w:r>
        <w:rPr>
          <w:rFonts w:ascii="Times New Roman" w:hAnsi="Times New Roman" w:eastAsia="Times New Roman" w:cs="Times New Roman"/>
          <w:color w:val="333333"/>
          <w:sz w:val="24"/>
          <w:szCs w:val="24"/>
        </w:rPr>
        <w:t xml:space="preserve">; trường hợp tàu biển là đối tượng không phải nộp lệ phí trước bạ thì nộp tờ khai lệ phí trước bạ có xác nhận của cơ quan thuế </w:t>
      </w:r>
      <w:r>
        <w:rPr>
          <w:rFonts w:ascii="Times New Roman" w:hAnsi="Times New Roman" w:eastAsia="Times New Roman" w:cs="Times New Roman"/>
          <w:b/>
          <w:color w:val="333333"/>
          <w:sz w:val="24"/>
          <w:szCs w:val="24"/>
        </w:rPr>
        <w:t>(bản sao kèm bản chính để đối chiếu)</w:t>
      </w:r>
      <w:r>
        <w:rPr>
          <w:rFonts w:ascii="Times New Roman" w:hAnsi="Times New Roman" w:eastAsia="Times New Roman" w:cs="Times New Roman"/>
          <w:color w:val="333333"/>
          <w:sz w:val="24"/>
          <w:szCs w:val="24"/>
        </w:rPr>
        <w:t>;</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 Giấy chứng nhận đăng ký kinh doanh hoặc Giấy chứng nhận đăng ký doanh nghiệp hoặc Giấy chứng nhận đăng ký hợp tác xã, liên hiệp hợp tác xã </w:t>
      </w:r>
      <w:r>
        <w:rPr>
          <w:rFonts w:ascii="Times New Roman" w:hAnsi="Times New Roman" w:eastAsia="Times New Roman" w:cs="Times New Roman"/>
          <w:b/>
          <w:color w:val="333333"/>
          <w:sz w:val="24"/>
          <w:szCs w:val="24"/>
        </w:rPr>
        <w:t>(bản sao có chứng thực hoặc bản sao kèm bản chính để đối chiếu)</w:t>
      </w:r>
      <w:r>
        <w:rPr>
          <w:rFonts w:ascii="Times New Roman" w:hAnsi="Times New Roman" w:eastAsia="Times New Roman" w:cs="Times New Roman"/>
          <w:color w:val="333333"/>
          <w:sz w:val="24"/>
          <w:szCs w:val="24"/>
        </w:rPr>
        <w:t xml:space="preserve">; trường hợp chủ tàu là tổ chức nước ngoài thì nộp giấy phép thành lập chi nhánh hoặc văn phòng đại diện tại Việt Nam </w:t>
      </w:r>
      <w:r>
        <w:rPr>
          <w:rFonts w:ascii="Times New Roman" w:hAnsi="Times New Roman" w:eastAsia="Times New Roman" w:cs="Times New Roman"/>
          <w:b/>
          <w:color w:val="333333"/>
          <w:sz w:val="24"/>
          <w:szCs w:val="24"/>
        </w:rPr>
        <w:t>(bản sao có chứng thực hoặc bản sao kèm bản chính để đối chiếu)</w:t>
      </w:r>
      <w:r>
        <w:rPr>
          <w:rFonts w:ascii="Times New Roman" w:hAnsi="Times New Roman" w:eastAsia="Times New Roman" w:cs="Times New Roman"/>
          <w:color w:val="333333"/>
          <w:sz w:val="24"/>
          <w:szCs w:val="24"/>
        </w:rPr>
        <w:t>;</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 Trường hợp chủ tàu là cá nhân phải nộp thêm giấy chứng minh nhân dân hoặc căn cước công dân hoặc hộ chiếu </w:t>
      </w:r>
      <w:r>
        <w:rPr>
          <w:rFonts w:ascii="Times New Roman" w:hAnsi="Times New Roman" w:eastAsia="Times New Roman" w:cs="Times New Roman"/>
          <w:b/>
          <w:color w:val="333333"/>
          <w:sz w:val="24"/>
          <w:szCs w:val="24"/>
        </w:rPr>
        <w:t>(bản sao có chứng thực hoặc bản sao kèm bản chính để đối chiếu)</w:t>
      </w:r>
      <w:r>
        <w:rPr>
          <w:rFonts w:ascii="Times New Roman" w:hAnsi="Times New Roman" w:eastAsia="Times New Roman" w:cs="Times New Roman"/>
          <w:color w:val="333333"/>
          <w:sz w:val="24"/>
          <w:szCs w:val="24"/>
        </w:rPr>
        <w:t xml:space="preserve">; trường hợp chủ tàu là cá nhân người nước ngoài thì nộp hộ chiếu </w:t>
      </w:r>
      <w:r>
        <w:rPr>
          <w:rFonts w:ascii="Times New Roman" w:hAnsi="Times New Roman" w:eastAsia="Times New Roman" w:cs="Times New Roman"/>
          <w:b/>
          <w:color w:val="333333"/>
          <w:sz w:val="24"/>
          <w:szCs w:val="24"/>
        </w:rPr>
        <w:t>(bản sao có chứng thực hoặc bản sao kèm bản chính để đối chiếu)</w:t>
      </w:r>
      <w:r>
        <w:rPr>
          <w:rFonts w:ascii="Times New Roman" w:hAnsi="Times New Roman" w:eastAsia="Times New Roman" w:cs="Times New Roman"/>
          <w:color w:val="333333"/>
          <w:sz w:val="24"/>
          <w:szCs w:val="24"/>
        </w:rPr>
        <w:t>;</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 Giấy chứng nhận an toàn kỹ thuật và bảo vệ môi trường tàu biển </w:t>
      </w:r>
      <w:r>
        <w:rPr>
          <w:rFonts w:ascii="Times New Roman" w:hAnsi="Times New Roman" w:eastAsia="Times New Roman" w:cs="Times New Roman"/>
          <w:b/>
          <w:color w:val="333333"/>
          <w:sz w:val="24"/>
          <w:szCs w:val="24"/>
        </w:rPr>
        <w:t>(bản sao có chứng thực hoặc bản sao kèm bản chính để đối chiếu)</w:t>
      </w:r>
      <w:r>
        <w:rPr>
          <w:rFonts w:ascii="Times New Roman" w:hAnsi="Times New Roman" w:eastAsia="Times New Roman" w:cs="Times New Roman"/>
          <w:color w:val="333333"/>
          <w:sz w:val="24"/>
          <w:szCs w:val="24"/>
        </w:rPr>
        <w:t>.</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 Trường hợp đăng ký tàu biển công vụ, chủ tàu nộp Quyết định thành lập cơ quan, đơn vị của cấp có thẩm quyền </w:t>
      </w:r>
      <w:r>
        <w:rPr>
          <w:rFonts w:ascii="Times New Roman" w:hAnsi="Times New Roman" w:eastAsia="Times New Roman" w:cs="Times New Roman"/>
          <w:b/>
          <w:color w:val="333333"/>
          <w:sz w:val="24"/>
          <w:szCs w:val="24"/>
        </w:rPr>
        <w:t>(bản sao có chứng thực hoặc bản sao kèm bản chính để đối chiếu)</w:t>
      </w:r>
      <w:r>
        <w:rPr>
          <w:rFonts w:ascii="Times New Roman" w:hAnsi="Times New Roman" w:eastAsia="Times New Roman" w:cs="Times New Roman"/>
          <w:color w:val="333333"/>
          <w:sz w:val="24"/>
          <w:szCs w:val="24"/>
        </w:rPr>
        <w:t xml:space="preserve"> thay Giấy chứng nhận đăng ký kinh doanh hoặc Giấy chứng nhận đăng ký doanh nghiệp hoặc Giấy chứng nhận đăng ký hợp tác xã, liên hiệp hợp tác xã </w:t>
      </w:r>
      <w:r>
        <w:rPr>
          <w:rFonts w:ascii="Times New Roman" w:hAnsi="Times New Roman" w:eastAsia="Times New Roman" w:cs="Times New Roman"/>
          <w:b/>
          <w:color w:val="333333"/>
          <w:sz w:val="24"/>
          <w:szCs w:val="24"/>
        </w:rPr>
        <w:t>(bản sao có chứng thực hoặc bản sao kèm bản chính để đối chiếu)</w:t>
      </w:r>
      <w:r>
        <w:rPr>
          <w:rFonts w:ascii="Times New Roman" w:hAnsi="Times New Roman" w:eastAsia="Times New Roman" w:cs="Times New Roman"/>
          <w:color w:val="333333"/>
          <w:sz w:val="24"/>
          <w:szCs w:val="24"/>
        </w:rPr>
        <w:t>.</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rPr>
        <w:t xml:space="preserve">4. Thời hạn giải quyết: </w:t>
      </w:r>
      <w:r>
        <w:rPr>
          <w:rFonts w:ascii="Times New Roman" w:hAnsi="Times New Roman" w:eastAsia="Times New Roman" w:cs="Times New Roman"/>
          <w:color w:val="333333"/>
          <w:sz w:val="24"/>
          <w:szCs w:val="24"/>
        </w:rPr>
        <w:t>Chậm nhất 02 ngày làm việc, kể từ ngày nhận đủ hồ sơ hợp lệ.</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rPr>
        <w:t xml:space="preserve">5. Đối tượng thực hiện: </w:t>
      </w:r>
      <w:r>
        <w:rPr>
          <w:rFonts w:ascii="Times New Roman" w:hAnsi="Times New Roman" w:eastAsia="Times New Roman" w:cs="Times New Roman"/>
          <w:color w:val="333333"/>
          <w:sz w:val="24"/>
          <w:szCs w:val="24"/>
        </w:rPr>
        <w:t>Tổ chức, cá nhân.</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rPr>
        <w:t>6. Cơ quan thực hiện TTHC</w:t>
      </w:r>
      <w:r>
        <w:rPr>
          <w:rFonts w:ascii="Times New Roman" w:hAnsi="Times New Roman" w:eastAsia="Times New Roman" w:cs="Times New Roman"/>
          <w:b/>
          <w:color w:val="333333"/>
          <w:sz w:val="24"/>
          <w:szCs w:val="24"/>
        </w:rPr>
        <w:t>:</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a) Cơ quan trực tiếp thực hiện TTHC: Chi cục Hàng hải Việt Nam tại Tp.Hồ Chí Minh;</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b) Cơ quan phối hợp: Không có.</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rPr>
        <w:t xml:space="preserve">7. Kết quả của việc thực hiện TTHC: </w:t>
      </w:r>
      <w:r>
        <w:rPr>
          <w:rFonts w:ascii="Times New Roman" w:hAnsi="Times New Roman" w:eastAsia="Times New Roman" w:cs="Times New Roman"/>
          <w:color w:val="333333"/>
          <w:sz w:val="24"/>
          <w:szCs w:val="24"/>
        </w:rPr>
        <w:t>Giấy chứng nhận đăng ký tàu biển loại nhỏ.</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rPr>
        <w:t>8. Phí, lệ phí:</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Lệ phí: đối với tàu có tổng dung tích đăng ký dưới 500 GT là 3.000 đồng/GT-lần (mức thu tối thiểu không dưới 300.000 đồng);</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Chủ tàu nộp lệ phí đăng ký tàu biển trực tiếp hoặc chuyển vào tài khoản của cơ quan đăng ký tàu biển trước khi nhận kết quả; chịu toàn bộ chi phí gửi hồ sơ, văn bản và các chi phí liên quan đến chuyển khoản.</w:t>
      </w:r>
    </w:p>
    <w:p>
      <w:pPr>
        <w:shd w:val="clear" w:color="auto" w:fill="FFFFFF"/>
        <w:spacing w:after="0" w:line="360" w:lineRule="auto"/>
        <w:jc w:val="both"/>
        <w:rPr>
          <w:rFonts w:ascii="Times New Roman" w:hAnsi="Times New Roman" w:eastAsia="Times New Roman" w:cs="Times New Roman"/>
          <w:color w:val="333333"/>
          <w:sz w:val="24"/>
          <w:szCs w:val="24"/>
        </w:rPr>
      </w:pP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rPr>
        <w:t>9. Tên mẫu đơn, mẫu tờ khai hành chính:</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Tờ khai đăng ký tàu biển, Giấy chứng nhận đăng ký.</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rPr>
        <w:t>10. Yêu cầu, điều kiện thực hiện TTHC</w:t>
      </w:r>
      <w:r>
        <w:rPr>
          <w:rFonts w:ascii="Times New Roman" w:hAnsi="Times New Roman" w:eastAsia="Times New Roman" w:cs="Times New Roman"/>
          <w:color w:val="333333"/>
          <w:sz w:val="24"/>
          <w:szCs w:val="24"/>
        </w:rPr>
        <w:t>:</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Đăng ký tàu biển loại nhỏ là việc đăng ký tàu biển có động cơ với công suất máy chính dưới 75 kW hoặc tàu biển không có động cơ nhưng có tổng dung tích dưới 50 hoặc có tổng trọng tải dưới 100 tấn hoặc có chiều dài đường nước thiết kế dưới 20 mét và đáp ứng điều kiện sau:</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a) Tuổi của tàu biển, tàu ngầm, tàu lặn, kho chứa nổi, giàn di động mang cờ quốc tịch nước ngoài đã qua sử dụng đăng ký lần đầu tại Việt Nam được thực hiện theo quy định sau:</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Tàu khách, tàu ngầm, tàu lặn: Không quá 10 năm;</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Các loại tàu biển khác, kho chứa nổi, giàn di động: Không quá 15 năm;</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Trường hợp đặc biệt do Bộ trưởng Bộ Giao thông vận tải quyết định nhưng không quá 20 năm và chỉ áp dụng đối với các loại tàu: Chở hóa chất, chở khí hóa lỏng, chở dầu hoặc kho chứa nổi;</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b) Giới hạn về tuổi tàu biển quy định tại mục a không áp dụng đối với tàu biển mang cờ quốc tịch nước ngoài, thuộc sở hữu của tổ chức, cá nhân nước ngoài được bán đấu giá tại Việt Nam theo quyết định cưỡng chế của cơ quan có thẩm quyền;</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c) Giới hạn về tuổi tàu biển quy định tại mục a không áp dụng trong trường hợp tàu biển mang cờ quốc tịch Việt Nam và thuộc sở hữu của tổ chức, cá nhân Việt Nam đã xóa đăng ký quốc tịch Việt Nam để đăng ký mang cờ quốc tịch nước ngoài theo hình thức cho thuê tàu trần;</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d) Tàu biển mang cờ quốc tịch nước ngoài do tổ chức, cá nhân Việt Nam mua theo phương thức vay mua hoặc thuê mua thì sau thời hạn đăng ký mang cờ quốc tịch nước ngoài được đăng ký mang cờ quốc tịch Việt Nam nếu tại thời điểm ký kết hợp đồng vay mua, thuê mua có tuổi tàu phù hợp với quy định tại mục a.</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rPr>
        <w:t>11. Căn cứ pháp lý</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Nghị định 171/2016/NĐ-CP ngày 27/12/2016 của Chính phủ về đăng ký, xóa đăng ký và mua, bán, đóng mới tàu biển.</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 Nghị định số 86/2020/NĐ-CP ngày 23/7/2020 của Chính phủ sửa đổi, bổ sung một số điều của của Nghị định số 171/2016/NĐ-CP </w:t>
      </w:r>
      <w:bookmarkStart w:id="0" w:name="_GoBack"/>
      <w:bookmarkEnd w:id="0"/>
    </w:p>
    <w:p>
      <w:pPr>
        <w:shd w:val="clear" w:color="auto" w:fill="FFFFFF"/>
        <w:spacing w:after="0" w:line="360" w:lineRule="auto"/>
        <w:jc w:val="both"/>
        <w:rPr>
          <w:rFonts w:ascii="Times New Roman" w:hAnsi="Times New Roman" w:eastAsia="Times New Roman" w:cs="Times New Roman"/>
          <w:color w:val="333333"/>
        </w:rPr>
      </w:pPr>
      <w:r>
        <w:rPr>
          <w:rFonts w:ascii="Times New Roman" w:hAnsi="Times New Roman" w:eastAsia="Times New Roman" w:cs="Times New Roman"/>
          <w:color w:val="333333"/>
          <w:sz w:val="24"/>
          <w:szCs w:val="24"/>
        </w:rPr>
        <w:t xml:space="preserve">- Thông tư 189/2016/TT-BTC ngày 08/11/2016 của Bộ trưởng Bộ Tài chính quy định mức thu, chế độ thu, nộp, quản lý và sử dụng phí, lệ phí trong hoạt động chuyên ngành hàng </w:t>
      </w:r>
      <w:r>
        <w:rPr>
          <w:rFonts w:ascii="Times New Roman" w:hAnsi="Times New Roman" w:eastAsia="Times New Roman" w:cs="Times New Roman"/>
          <w:color w:val="333333"/>
        </w:rPr>
        <w:t>hải.</w:t>
      </w:r>
    </w:p>
    <w:p>
      <w:pPr>
        <w:shd w:val="clear" w:color="auto" w:fill="FFFFFF"/>
        <w:spacing w:after="0" w:line="360" w:lineRule="auto"/>
        <w:jc w:val="both"/>
        <w:rPr>
          <w:rFonts w:ascii="Times New Roman" w:hAnsi="Times New Roman" w:eastAsia="Times New Roman" w:cs="Times New Roman"/>
          <w:color w:val="333333"/>
        </w:rPr>
      </w:pPr>
    </w:p>
    <w:p>
      <w:pPr>
        <w:shd w:val="clear" w:color="auto" w:fill="FFFFFF"/>
        <w:spacing w:after="0" w:line="360" w:lineRule="auto"/>
        <w:jc w:val="center"/>
        <w:rPr>
          <w:rFonts w:ascii="Times New Roman" w:hAnsi="Times New Roman" w:eastAsia="Times New Roman" w:cs="Times New Roman"/>
          <w:b/>
          <w:color w:val="333333"/>
          <w:sz w:val="90"/>
          <w:szCs w:val="90"/>
        </w:rPr>
      </w:pPr>
      <w:r>
        <w:rPr>
          <w:rFonts w:ascii="Times New Roman" w:hAnsi="Times New Roman" w:eastAsia="Times New Roman" w:cs="Times New Roman"/>
          <w:b/>
          <w:color w:val="333333"/>
          <w:sz w:val="90"/>
          <w:szCs w:val="90"/>
        </w:rPr>
        <w:t>06</w:t>
      </w:r>
    </w:p>
    <w:sectPr>
      <w:pgSz w:w="12240" w:h="15840"/>
      <w:pgMar w:top="1276" w:right="1134" w:bottom="709" w:left="144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88D"/>
    <w:rsid w:val="000D6742"/>
    <w:rsid w:val="00400B30"/>
    <w:rsid w:val="00CE188D"/>
    <w:rsid w:val="00F16C23"/>
    <w:rsid w:val="1816491F"/>
    <w:rsid w:val="6D294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Truong</Company>
  <Pages>3</Pages>
  <Words>952</Words>
  <Characters>5431</Characters>
  <Lines>45</Lines>
  <Paragraphs>12</Paragraphs>
  <TotalTime>0</TotalTime>
  <ScaleCrop>false</ScaleCrop>
  <LinksUpToDate>false</LinksUpToDate>
  <CharactersWithSpaces>6371</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2020-10-23T03:20:00Z</dcterms:created>
  <dc:creator>Administrator</dc:creator>
  <cp:lastModifiedBy>google1598498122</cp:lastModifiedBy>
  <dcterms:modified xsi:type="dcterms:W3CDTF">2020-10-28T03:19:36Z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